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95" w:rsidRDefault="00BE49AF" w:rsidP="00FD1495">
      <w:pPr>
        <w:pStyle w:val="Default"/>
      </w:pPr>
      <w:r>
        <w:t>VACCINATION STATEMENT FOR TETON VALLEY HEALTH</w:t>
      </w:r>
    </w:p>
    <w:p w:rsidR="00BE49AF" w:rsidRDefault="00BE49AF" w:rsidP="00FD1495">
      <w:pPr>
        <w:pStyle w:val="Default"/>
      </w:pPr>
    </w:p>
    <w:p w:rsidR="00FD1495" w:rsidRPr="00BE49AF" w:rsidRDefault="00FD1495" w:rsidP="00FD1495">
      <w:pPr>
        <w:pStyle w:val="Default"/>
        <w:spacing w:line="241" w:lineRule="atLeast"/>
        <w:ind w:left="240" w:hanging="240"/>
        <w:rPr>
          <w:rFonts w:asciiTheme="minorHAnsi" w:hAnsiTheme="minorHAnsi" w:cstheme="minorHAnsi"/>
          <w:sz w:val="21"/>
          <w:szCs w:val="21"/>
        </w:rPr>
      </w:pPr>
      <w:r w:rsidRPr="00BE49AF">
        <w:rPr>
          <w:rStyle w:val="A10"/>
          <w:rFonts w:asciiTheme="minorHAnsi" w:hAnsiTheme="minorHAnsi" w:cstheme="minorHAnsi"/>
          <w:b/>
          <w:bCs/>
        </w:rPr>
        <w:t xml:space="preserve">We firmly believe </w:t>
      </w:r>
      <w:r w:rsidRPr="00BE49AF">
        <w:rPr>
          <w:rStyle w:val="A10"/>
          <w:rFonts w:asciiTheme="minorHAnsi" w:hAnsiTheme="minorHAnsi" w:cstheme="minorHAnsi"/>
        </w:rPr>
        <w:t>in the effectiveness of vaccines to prevent serious illness and to save lives.</w:t>
      </w:r>
    </w:p>
    <w:p w:rsidR="00FD1495" w:rsidRPr="00BE49AF" w:rsidRDefault="00FD1495" w:rsidP="00FD1495">
      <w:pPr>
        <w:pStyle w:val="Pa4"/>
        <w:spacing w:before="120"/>
        <w:ind w:left="240" w:hanging="240"/>
        <w:rPr>
          <w:rFonts w:asciiTheme="minorHAnsi" w:hAnsiTheme="minorHAnsi" w:cstheme="minorHAnsi"/>
          <w:color w:val="000000"/>
          <w:sz w:val="21"/>
          <w:szCs w:val="21"/>
        </w:rPr>
      </w:pPr>
      <w:r w:rsidRPr="00BE49AF">
        <w:rPr>
          <w:rStyle w:val="A10"/>
          <w:rFonts w:asciiTheme="minorHAnsi" w:hAnsiTheme="minorHAnsi" w:cstheme="minorHAnsi"/>
          <w:b/>
          <w:bCs/>
        </w:rPr>
        <w:t xml:space="preserve">We firmly believe </w:t>
      </w:r>
      <w:r w:rsidRPr="00BE49AF">
        <w:rPr>
          <w:rStyle w:val="A10"/>
          <w:rFonts w:asciiTheme="minorHAnsi" w:hAnsiTheme="minorHAnsi" w:cstheme="minorHAnsi"/>
        </w:rPr>
        <w:t xml:space="preserve">in the safety of our vaccines. </w:t>
      </w:r>
    </w:p>
    <w:p w:rsidR="00FD1495" w:rsidRPr="00BE49AF" w:rsidRDefault="00FD1495" w:rsidP="00ED0438">
      <w:pPr>
        <w:pStyle w:val="Pa4"/>
        <w:spacing w:before="120"/>
        <w:rPr>
          <w:rFonts w:asciiTheme="minorHAnsi" w:hAnsiTheme="minorHAnsi" w:cstheme="minorHAnsi"/>
          <w:color w:val="000000"/>
          <w:sz w:val="21"/>
          <w:szCs w:val="21"/>
        </w:rPr>
      </w:pPr>
      <w:r w:rsidRPr="00BE49AF">
        <w:rPr>
          <w:rStyle w:val="A10"/>
          <w:rFonts w:asciiTheme="minorHAnsi" w:hAnsiTheme="minorHAnsi" w:cstheme="minorHAnsi"/>
          <w:b/>
          <w:bCs/>
        </w:rPr>
        <w:t xml:space="preserve">We firmly believe </w:t>
      </w:r>
      <w:r w:rsidRPr="00BE49AF">
        <w:rPr>
          <w:rStyle w:val="A10"/>
          <w:rFonts w:asciiTheme="minorHAnsi" w:hAnsiTheme="minorHAnsi" w:cstheme="minorHAnsi"/>
          <w:bCs/>
        </w:rPr>
        <w:t>that all children and young adults should</w:t>
      </w:r>
      <w:r w:rsidR="00ED0438" w:rsidRPr="00BE49AF">
        <w:rPr>
          <w:rStyle w:val="A10"/>
          <w:rFonts w:asciiTheme="minorHAnsi" w:hAnsiTheme="minorHAnsi" w:cstheme="minorHAnsi"/>
          <w:bCs/>
        </w:rPr>
        <w:t xml:space="preserve"> receive all of the recommended </w:t>
      </w:r>
      <w:r w:rsidRPr="00BE49AF">
        <w:rPr>
          <w:rStyle w:val="A10"/>
          <w:rFonts w:asciiTheme="minorHAnsi" w:hAnsiTheme="minorHAnsi" w:cstheme="minorHAnsi"/>
          <w:bCs/>
        </w:rPr>
        <w:t>vaccines according to the schedule published by the Centers for Disease Control and Prevention and the American Academy of Pediatrics.</w:t>
      </w:r>
    </w:p>
    <w:p w:rsidR="00ED0438" w:rsidRPr="00BE49AF" w:rsidRDefault="00FD1495" w:rsidP="00ED0438">
      <w:pPr>
        <w:pStyle w:val="Pa4"/>
        <w:spacing w:before="120"/>
        <w:rPr>
          <w:rStyle w:val="A10"/>
          <w:rFonts w:asciiTheme="minorHAnsi" w:hAnsiTheme="minorHAnsi" w:cstheme="minorHAnsi"/>
          <w:bCs/>
        </w:rPr>
      </w:pPr>
      <w:r w:rsidRPr="00BE49AF">
        <w:rPr>
          <w:rStyle w:val="A10"/>
          <w:rFonts w:asciiTheme="minorHAnsi" w:hAnsiTheme="minorHAnsi" w:cstheme="minorHAnsi"/>
          <w:b/>
          <w:bCs/>
        </w:rPr>
        <w:t xml:space="preserve">We firmly believe, </w:t>
      </w:r>
      <w:r w:rsidRPr="00BE49AF">
        <w:rPr>
          <w:rStyle w:val="A10"/>
          <w:rFonts w:asciiTheme="minorHAnsi" w:hAnsiTheme="minorHAnsi" w:cstheme="minorHAnsi"/>
          <w:bCs/>
        </w:rPr>
        <w:t xml:space="preserve">based on all available literature, evidence, and current studies, that vaccines do not cause autism or other developmental disabilities. </w:t>
      </w:r>
    </w:p>
    <w:p w:rsidR="00FD1495" w:rsidRPr="00BE49AF" w:rsidRDefault="00FD1495" w:rsidP="00ED0438">
      <w:pPr>
        <w:pStyle w:val="Pa4"/>
        <w:spacing w:before="120"/>
        <w:rPr>
          <w:rFonts w:asciiTheme="minorHAnsi" w:hAnsiTheme="minorHAnsi" w:cstheme="minorHAnsi"/>
          <w:color w:val="000000"/>
          <w:sz w:val="21"/>
          <w:szCs w:val="21"/>
        </w:rPr>
      </w:pPr>
      <w:r w:rsidRPr="00BE49AF">
        <w:rPr>
          <w:rStyle w:val="A10"/>
          <w:rFonts w:asciiTheme="minorHAnsi" w:hAnsiTheme="minorHAnsi" w:cstheme="minorHAnsi"/>
          <w:b/>
          <w:bCs/>
        </w:rPr>
        <w:t>We firmly believe</w:t>
      </w:r>
      <w:r w:rsidRPr="00BE49AF">
        <w:rPr>
          <w:rStyle w:val="A10"/>
          <w:rFonts w:asciiTheme="minorHAnsi" w:hAnsiTheme="minorHAnsi" w:cstheme="minorHAnsi"/>
          <w:bCs/>
        </w:rPr>
        <w:t xml:space="preserve"> that thimerosal, a preservative that has been in vaccines for decades and remains in some vaccines, does not cause autism or other developmental disabilities.</w:t>
      </w:r>
    </w:p>
    <w:p w:rsidR="00ED0438" w:rsidRPr="00BE49AF" w:rsidRDefault="00FD1495" w:rsidP="00ED0438">
      <w:pPr>
        <w:spacing w:before="120"/>
        <w:rPr>
          <w:rFonts w:cstheme="minorHAnsi"/>
          <w:color w:val="000000"/>
          <w:sz w:val="21"/>
          <w:szCs w:val="21"/>
        </w:rPr>
      </w:pPr>
      <w:r w:rsidRPr="00BE49AF">
        <w:rPr>
          <w:rStyle w:val="A10"/>
          <w:rFonts w:cstheme="minorHAnsi"/>
          <w:b/>
          <w:bCs/>
        </w:rPr>
        <w:t xml:space="preserve">We firmly believe </w:t>
      </w:r>
      <w:r w:rsidRPr="00BE49AF">
        <w:rPr>
          <w:rStyle w:val="A10"/>
          <w:rFonts w:cstheme="minorHAnsi"/>
        </w:rPr>
        <w:t>that vaccinating children and young adults may be the single most i</w:t>
      </w:r>
      <w:r w:rsidR="00ED0438" w:rsidRPr="00BE49AF">
        <w:rPr>
          <w:rStyle w:val="A10"/>
          <w:rFonts w:cstheme="minorHAnsi"/>
        </w:rPr>
        <w:t>mportant health-promoting inter</w:t>
      </w:r>
      <w:r w:rsidRPr="00BE49AF">
        <w:rPr>
          <w:rStyle w:val="A10"/>
          <w:rFonts w:cstheme="minorHAnsi"/>
        </w:rPr>
        <w:t>vention we perform as healthcare providers, and that you can perform as parents/caregivers. The recommended vaccines and the vaccine schedule are the results of years and years of scientific study and data gathering on millions of children by thousands of our brightest scientists and physicians.</w:t>
      </w:r>
    </w:p>
    <w:p w:rsidR="00ED0438" w:rsidRDefault="00ED0438" w:rsidP="00ED0438">
      <w:pPr>
        <w:rPr>
          <w:rStyle w:val="A10"/>
        </w:rPr>
      </w:pPr>
      <w:r>
        <w:rPr>
          <w:rStyle w:val="A10"/>
        </w:rPr>
        <w:t xml:space="preserve">The vaccine campaign is truly a victim of its own success. It is precisely because vaccines are so effective at preventing illness that we are even discussing whether or not they should be given. Because of vaccines, many of </w:t>
      </w:r>
      <w:r w:rsidR="004A50B7">
        <w:rPr>
          <w:rStyle w:val="A10"/>
        </w:rPr>
        <w:t>us</w:t>
      </w:r>
      <w:r>
        <w:rPr>
          <w:rStyle w:val="A10"/>
        </w:rPr>
        <w:t xml:space="preserve"> have never seen a child with polio, tetanus, whooping cough, bacterial menin</w:t>
      </w:r>
      <w:r>
        <w:rPr>
          <w:rStyle w:val="A10"/>
        </w:rPr>
        <w:softHyphen/>
        <w:t>gitis, or even chickenpox, or known a friend or family mem</w:t>
      </w:r>
      <w:r>
        <w:rPr>
          <w:rStyle w:val="A10"/>
        </w:rPr>
        <w:softHyphen/>
        <w:t>ber whose child died of one of these diseases. Such success can make us complacent or even lazy about vaccinating.</w:t>
      </w:r>
    </w:p>
    <w:p w:rsidR="00ED0438" w:rsidRDefault="00ED0438" w:rsidP="00ED0438">
      <w:pPr>
        <w:rPr>
          <w:rStyle w:val="A10"/>
        </w:rPr>
      </w:pPr>
      <w:r>
        <w:rPr>
          <w:rStyle w:val="A10"/>
        </w:rPr>
        <w:t>This said, we recognize that there has always been and will likely always be controversy surrounding vaccination.  We recognize that the choice may be a very emotional one for some parents. We encourage you</w:t>
      </w:r>
      <w:r w:rsidRPr="00ED0438">
        <w:rPr>
          <w:rStyle w:val="A10"/>
        </w:rPr>
        <w:t xml:space="preserve">, </w:t>
      </w:r>
      <w:r w:rsidRPr="00ED0438">
        <w:rPr>
          <w:rStyle w:val="A10"/>
          <w:bCs/>
        </w:rPr>
        <w:t>should you have doubts to please discuss these with your healthcare provider in advance of your visit</w:t>
      </w:r>
      <w:r w:rsidRPr="00ED0438">
        <w:rPr>
          <w:rStyle w:val="A10"/>
        </w:rPr>
        <w:t>.</w:t>
      </w:r>
    </w:p>
    <w:p w:rsidR="00ED0438" w:rsidRDefault="00ED0438" w:rsidP="00ED0438">
      <w:pPr>
        <w:rPr>
          <w:rStyle w:val="A10"/>
        </w:rPr>
      </w:pPr>
      <w:r>
        <w:rPr>
          <w:rStyle w:val="A10"/>
        </w:rPr>
        <w:t xml:space="preserve">In some cases, we may alter the schedule to accommodate parental concerns or reservations. </w:t>
      </w:r>
      <w:r>
        <w:rPr>
          <w:rStyle w:val="A10"/>
          <w:b/>
          <w:bCs/>
        </w:rPr>
        <w:t xml:space="preserve">Please be advised, however, that delaying or </w:t>
      </w:r>
      <w:r w:rsidR="004A50B7">
        <w:rPr>
          <w:rStyle w:val="A10"/>
          <w:b/>
          <w:bCs/>
        </w:rPr>
        <w:t>altering our vaccine schedule in order</w:t>
      </w:r>
      <w:r>
        <w:rPr>
          <w:rStyle w:val="A10"/>
          <w:b/>
          <w:bCs/>
        </w:rPr>
        <w:t xml:space="preserve"> to give one or two at a time over two or more visits goes against expert recommendations, and can put your child at risk for serious illness (or even death) and goes against our medical advice as providers at Teton Valley Health. </w:t>
      </w:r>
      <w:r w:rsidR="00557291">
        <w:rPr>
          <w:rStyle w:val="A10"/>
          <w:b/>
          <w:bCs/>
        </w:rPr>
        <w:t xml:space="preserve"> </w:t>
      </w:r>
      <w:r>
        <w:rPr>
          <w:rStyle w:val="A10"/>
        </w:rPr>
        <w:t>Please realize that you will also be required to sign a “Refusal to Vaccinate” acknowledgement in the event of lengthy delays.</w:t>
      </w:r>
    </w:p>
    <w:p w:rsidR="00ED0438" w:rsidRDefault="00ED0438" w:rsidP="00ED0438">
      <w:pPr>
        <w:rPr>
          <w:rStyle w:val="A10"/>
        </w:rPr>
      </w:pPr>
      <w:r>
        <w:rPr>
          <w:rStyle w:val="A10"/>
        </w:rPr>
        <w:t xml:space="preserve">As medical professionals, we feel very strongly that vaccinating your child on schedule with currently available vaccines is absolutely the right thing to do to protect all children and young adults. Thank you for taking the time to read this </w:t>
      </w:r>
      <w:r w:rsidR="00956643">
        <w:rPr>
          <w:rStyle w:val="A10"/>
        </w:rPr>
        <w:t>statement</w:t>
      </w:r>
      <w:r>
        <w:rPr>
          <w:rStyle w:val="A10"/>
        </w:rPr>
        <w:t>. Please feel free to discuss any questions or concerns you may have about vaccines with any one of us.</w:t>
      </w:r>
    </w:p>
    <w:p w:rsidR="00557291" w:rsidRDefault="00557291" w:rsidP="00C5106A">
      <w:pPr>
        <w:spacing w:after="0"/>
        <w:rPr>
          <w:rStyle w:val="A10"/>
        </w:rPr>
      </w:pPr>
      <w:r>
        <w:rPr>
          <w:rStyle w:val="A10"/>
        </w:rPr>
        <w:t>Because we are committed to protecting the health of your children through vaccination</w:t>
      </w:r>
      <w:r w:rsidR="00BE49AF">
        <w:rPr>
          <w:rStyle w:val="A10"/>
        </w:rPr>
        <w:t>s</w:t>
      </w:r>
      <w:r>
        <w:rPr>
          <w:rStyle w:val="A10"/>
        </w:rPr>
        <w:t xml:space="preserve">, we have a recommended immunization schedule starting at </w:t>
      </w:r>
      <w:r w:rsidR="00C5106A">
        <w:rPr>
          <w:rStyle w:val="A10"/>
        </w:rPr>
        <w:t>birth</w:t>
      </w:r>
      <w:r>
        <w:rPr>
          <w:rStyle w:val="A10"/>
        </w:rPr>
        <w:t xml:space="preserve"> through 18 years of age</w:t>
      </w:r>
      <w:r w:rsidR="00BE49AF">
        <w:rPr>
          <w:rStyle w:val="A10"/>
        </w:rPr>
        <w:t xml:space="preserve">. </w:t>
      </w:r>
      <w:r w:rsidR="00C5106A">
        <w:rPr>
          <w:rStyle w:val="A10"/>
        </w:rPr>
        <w:t xml:space="preserve">Sample schedule is below. Combination vaccines are used to reduce the amount if needle sticks per immunization sessions. </w:t>
      </w:r>
      <w:r w:rsidR="00BE49AF">
        <w:rPr>
          <w:rStyle w:val="A10"/>
        </w:rPr>
        <w:t xml:space="preserve"> </w:t>
      </w:r>
      <w:r w:rsidR="00C5106A">
        <w:rPr>
          <w:rStyle w:val="A10"/>
        </w:rPr>
        <w:t>(eg., D</w:t>
      </w:r>
      <w:r w:rsidR="008D594C">
        <w:rPr>
          <w:rStyle w:val="A10"/>
        </w:rPr>
        <w:t>TaP</w:t>
      </w:r>
      <w:r w:rsidR="00C5106A">
        <w:rPr>
          <w:rStyle w:val="A10"/>
        </w:rPr>
        <w:t xml:space="preserve">, MMR, Vaxelis, Kinrix and Proquad) </w:t>
      </w:r>
    </w:p>
    <w:p w:rsidR="00BE49AF" w:rsidRDefault="00BE49AF" w:rsidP="00C5106A">
      <w:pPr>
        <w:spacing w:after="0"/>
        <w:rPr>
          <w:rStyle w:val="A10"/>
        </w:rPr>
      </w:pPr>
    </w:p>
    <w:tbl>
      <w:tblPr>
        <w:tblStyle w:val="TableGrid"/>
        <w:tblW w:w="0" w:type="auto"/>
        <w:tblLook w:val="04A0" w:firstRow="1" w:lastRow="0" w:firstColumn="1" w:lastColumn="0" w:noHBand="0" w:noVBand="1"/>
      </w:tblPr>
      <w:tblGrid>
        <w:gridCol w:w="2259"/>
        <w:gridCol w:w="1265"/>
        <w:gridCol w:w="1187"/>
        <w:gridCol w:w="1258"/>
        <w:gridCol w:w="1199"/>
        <w:gridCol w:w="1091"/>
        <w:gridCol w:w="1091"/>
      </w:tblGrid>
      <w:tr w:rsidR="003D57E8" w:rsidTr="003D57E8">
        <w:tc>
          <w:tcPr>
            <w:tcW w:w="2259" w:type="dxa"/>
            <w:shd w:val="clear" w:color="auto" w:fill="BDD6EE" w:themeFill="accent1" w:themeFillTint="66"/>
          </w:tcPr>
          <w:p w:rsidR="003D57E8" w:rsidRDefault="00557291" w:rsidP="00ED0438">
            <w:r>
              <w:rPr>
                <w:rStyle w:val="A10"/>
              </w:rPr>
              <w:t xml:space="preserve"> </w:t>
            </w:r>
            <w:r w:rsidR="003D57E8">
              <w:t>Birth</w:t>
            </w:r>
          </w:p>
        </w:tc>
        <w:tc>
          <w:tcPr>
            <w:tcW w:w="1265" w:type="dxa"/>
            <w:shd w:val="clear" w:color="auto" w:fill="DEEAF6" w:themeFill="accent1" w:themeFillTint="33"/>
          </w:tcPr>
          <w:p w:rsidR="003D57E8" w:rsidRDefault="003D57E8" w:rsidP="00ED0438">
            <w:r>
              <w:t>Hepatitis B</w:t>
            </w:r>
          </w:p>
        </w:tc>
        <w:tc>
          <w:tcPr>
            <w:tcW w:w="1187" w:type="dxa"/>
            <w:shd w:val="clear" w:color="auto" w:fill="DEEAF6" w:themeFill="accent1" w:themeFillTint="33"/>
          </w:tcPr>
          <w:p w:rsidR="003D57E8" w:rsidRDefault="003D57E8" w:rsidP="00ED0438"/>
        </w:tc>
        <w:tc>
          <w:tcPr>
            <w:tcW w:w="1258" w:type="dxa"/>
            <w:shd w:val="clear" w:color="auto" w:fill="DEEAF6" w:themeFill="accent1" w:themeFillTint="33"/>
          </w:tcPr>
          <w:p w:rsidR="003D57E8" w:rsidRDefault="003D57E8" w:rsidP="00ED0438"/>
        </w:tc>
        <w:tc>
          <w:tcPr>
            <w:tcW w:w="1199" w:type="dxa"/>
            <w:shd w:val="clear" w:color="auto" w:fill="DEEAF6" w:themeFill="accent1" w:themeFillTint="33"/>
          </w:tcPr>
          <w:p w:rsidR="003D57E8" w:rsidRDefault="003D57E8" w:rsidP="00ED0438"/>
        </w:tc>
        <w:tc>
          <w:tcPr>
            <w:tcW w:w="1091" w:type="dxa"/>
            <w:shd w:val="clear" w:color="auto" w:fill="DEEAF6" w:themeFill="accent1" w:themeFillTint="33"/>
          </w:tcPr>
          <w:p w:rsidR="003D57E8" w:rsidRDefault="003D57E8" w:rsidP="00ED0438"/>
        </w:tc>
        <w:tc>
          <w:tcPr>
            <w:tcW w:w="1091" w:type="dxa"/>
            <w:shd w:val="clear" w:color="auto" w:fill="DEEAF6" w:themeFill="accent1" w:themeFillTint="33"/>
          </w:tcPr>
          <w:p w:rsidR="003D57E8" w:rsidRDefault="003D57E8" w:rsidP="00ED0438"/>
        </w:tc>
      </w:tr>
      <w:tr w:rsidR="003D57E8" w:rsidTr="003D57E8">
        <w:tc>
          <w:tcPr>
            <w:tcW w:w="2259" w:type="dxa"/>
            <w:shd w:val="clear" w:color="auto" w:fill="BDD6EE" w:themeFill="accent1" w:themeFillTint="66"/>
          </w:tcPr>
          <w:p w:rsidR="003D57E8" w:rsidRDefault="003D57E8" w:rsidP="003D57E8">
            <w:pPr>
              <w:rPr>
                <w:rStyle w:val="A10"/>
              </w:rPr>
            </w:pPr>
            <w:r>
              <w:rPr>
                <w:rStyle w:val="A10"/>
              </w:rPr>
              <w:t>2 month</w:t>
            </w:r>
          </w:p>
        </w:tc>
        <w:tc>
          <w:tcPr>
            <w:tcW w:w="1265" w:type="dxa"/>
            <w:shd w:val="clear" w:color="auto" w:fill="DEEAF6" w:themeFill="accent1" w:themeFillTint="33"/>
          </w:tcPr>
          <w:p w:rsidR="003D57E8" w:rsidRDefault="003D57E8" w:rsidP="003D57E8">
            <w:r>
              <w:t>Hepatitis B</w:t>
            </w:r>
          </w:p>
        </w:tc>
        <w:tc>
          <w:tcPr>
            <w:tcW w:w="1187" w:type="dxa"/>
            <w:shd w:val="clear" w:color="auto" w:fill="DEEAF6" w:themeFill="accent1" w:themeFillTint="33"/>
          </w:tcPr>
          <w:p w:rsidR="003D57E8" w:rsidRDefault="00C5106A" w:rsidP="003D57E8">
            <w:r>
              <w:t>DTaP</w:t>
            </w:r>
          </w:p>
        </w:tc>
        <w:tc>
          <w:tcPr>
            <w:tcW w:w="1258" w:type="dxa"/>
            <w:shd w:val="clear" w:color="auto" w:fill="DEEAF6" w:themeFill="accent1" w:themeFillTint="33"/>
          </w:tcPr>
          <w:p w:rsidR="003D57E8" w:rsidRDefault="003D57E8" w:rsidP="003D57E8">
            <w:r>
              <w:t>Polio</w:t>
            </w:r>
          </w:p>
        </w:tc>
        <w:tc>
          <w:tcPr>
            <w:tcW w:w="1199" w:type="dxa"/>
            <w:shd w:val="clear" w:color="auto" w:fill="DEEAF6" w:themeFill="accent1" w:themeFillTint="33"/>
          </w:tcPr>
          <w:p w:rsidR="003D57E8" w:rsidRDefault="003D57E8" w:rsidP="003D57E8">
            <w:r>
              <w:t>Prevnar</w:t>
            </w:r>
          </w:p>
        </w:tc>
        <w:tc>
          <w:tcPr>
            <w:tcW w:w="1091" w:type="dxa"/>
            <w:shd w:val="clear" w:color="auto" w:fill="DEEAF6" w:themeFill="accent1" w:themeFillTint="33"/>
          </w:tcPr>
          <w:p w:rsidR="003D57E8" w:rsidRDefault="003D57E8" w:rsidP="003D57E8">
            <w:r>
              <w:t>HIB</w:t>
            </w:r>
          </w:p>
        </w:tc>
        <w:tc>
          <w:tcPr>
            <w:tcW w:w="1091" w:type="dxa"/>
            <w:shd w:val="clear" w:color="auto" w:fill="DEEAF6" w:themeFill="accent1" w:themeFillTint="33"/>
          </w:tcPr>
          <w:p w:rsidR="003D57E8" w:rsidRDefault="003D57E8" w:rsidP="003D57E8">
            <w:r>
              <w:t>R</w:t>
            </w:r>
            <w:r w:rsidR="00C5106A">
              <w:t>ota</w:t>
            </w:r>
            <w:r>
              <w:t>virus</w:t>
            </w:r>
          </w:p>
        </w:tc>
        <w:bookmarkStart w:id="0" w:name="_GoBack"/>
        <w:bookmarkEnd w:id="0"/>
      </w:tr>
      <w:tr w:rsidR="003D57E8" w:rsidTr="003D57E8">
        <w:tc>
          <w:tcPr>
            <w:tcW w:w="2259" w:type="dxa"/>
            <w:shd w:val="clear" w:color="auto" w:fill="BDD6EE" w:themeFill="accent1" w:themeFillTint="66"/>
          </w:tcPr>
          <w:p w:rsidR="003D57E8" w:rsidRDefault="003D57E8" w:rsidP="003D57E8">
            <w:pPr>
              <w:rPr>
                <w:rStyle w:val="A10"/>
              </w:rPr>
            </w:pPr>
            <w:r>
              <w:rPr>
                <w:rStyle w:val="A10"/>
              </w:rPr>
              <w:t>4 month</w:t>
            </w:r>
          </w:p>
        </w:tc>
        <w:tc>
          <w:tcPr>
            <w:tcW w:w="1265" w:type="dxa"/>
            <w:shd w:val="clear" w:color="auto" w:fill="DEEAF6" w:themeFill="accent1" w:themeFillTint="33"/>
          </w:tcPr>
          <w:p w:rsidR="003D57E8" w:rsidRDefault="003D57E8" w:rsidP="003D57E8">
            <w:r>
              <w:t>Hepatitis B</w:t>
            </w:r>
          </w:p>
        </w:tc>
        <w:tc>
          <w:tcPr>
            <w:tcW w:w="1187" w:type="dxa"/>
            <w:shd w:val="clear" w:color="auto" w:fill="DEEAF6" w:themeFill="accent1" w:themeFillTint="33"/>
          </w:tcPr>
          <w:p w:rsidR="003D57E8" w:rsidRDefault="00C5106A" w:rsidP="003D57E8">
            <w:r>
              <w:t>DTaP</w:t>
            </w:r>
          </w:p>
        </w:tc>
        <w:tc>
          <w:tcPr>
            <w:tcW w:w="1258" w:type="dxa"/>
            <w:shd w:val="clear" w:color="auto" w:fill="DEEAF6" w:themeFill="accent1" w:themeFillTint="33"/>
          </w:tcPr>
          <w:p w:rsidR="003D57E8" w:rsidRDefault="003D57E8" w:rsidP="003D57E8">
            <w:r>
              <w:t>Polio</w:t>
            </w:r>
          </w:p>
        </w:tc>
        <w:tc>
          <w:tcPr>
            <w:tcW w:w="1199" w:type="dxa"/>
            <w:shd w:val="clear" w:color="auto" w:fill="DEEAF6" w:themeFill="accent1" w:themeFillTint="33"/>
          </w:tcPr>
          <w:p w:rsidR="003D57E8" w:rsidRDefault="003D57E8" w:rsidP="003D57E8">
            <w:r>
              <w:t>Prevnar</w:t>
            </w:r>
          </w:p>
        </w:tc>
        <w:tc>
          <w:tcPr>
            <w:tcW w:w="1091" w:type="dxa"/>
            <w:shd w:val="clear" w:color="auto" w:fill="DEEAF6" w:themeFill="accent1" w:themeFillTint="33"/>
          </w:tcPr>
          <w:p w:rsidR="003D57E8" w:rsidRDefault="003D57E8" w:rsidP="003D57E8">
            <w:r>
              <w:t>HIB</w:t>
            </w:r>
          </w:p>
        </w:tc>
        <w:tc>
          <w:tcPr>
            <w:tcW w:w="1091" w:type="dxa"/>
            <w:shd w:val="clear" w:color="auto" w:fill="DEEAF6" w:themeFill="accent1" w:themeFillTint="33"/>
          </w:tcPr>
          <w:p w:rsidR="003D57E8" w:rsidRDefault="003D57E8" w:rsidP="003D57E8">
            <w:r>
              <w:t>R</w:t>
            </w:r>
            <w:r w:rsidR="00C5106A">
              <w:t>ota</w:t>
            </w:r>
            <w:r>
              <w:t>virus</w:t>
            </w:r>
          </w:p>
        </w:tc>
      </w:tr>
      <w:tr w:rsidR="004A50B7" w:rsidTr="003D57E8">
        <w:tc>
          <w:tcPr>
            <w:tcW w:w="2259" w:type="dxa"/>
            <w:shd w:val="clear" w:color="auto" w:fill="BDD6EE" w:themeFill="accent1" w:themeFillTint="66"/>
          </w:tcPr>
          <w:p w:rsidR="004A50B7" w:rsidRDefault="004A50B7" w:rsidP="003D57E8">
            <w:pPr>
              <w:rPr>
                <w:rStyle w:val="A10"/>
              </w:rPr>
            </w:pPr>
            <w:r>
              <w:rPr>
                <w:rStyle w:val="A10"/>
              </w:rPr>
              <w:t>6 month</w:t>
            </w:r>
          </w:p>
        </w:tc>
        <w:tc>
          <w:tcPr>
            <w:tcW w:w="1265" w:type="dxa"/>
            <w:shd w:val="clear" w:color="auto" w:fill="DEEAF6" w:themeFill="accent1" w:themeFillTint="33"/>
          </w:tcPr>
          <w:p w:rsidR="004A50B7" w:rsidRDefault="004A50B7" w:rsidP="003D57E8">
            <w:r>
              <w:t>Hepatitis B</w:t>
            </w:r>
          </w:p>
        </w:tc>
        <w:tc>
          <w:tcPr>
            <w:tcW w:w="1187" w:type="dxa"/>
            <w:shd w:val="clear" w:color="auto" w:fill="DEEAF6" w:themeFill="accent1" w:themeFillTint="33"/>
          </w:tcPr>
          <w:p w:rsidR="004A50B7" w:rsidRDefault="004A50B7" w:rsidP="003D57E8">
            <w:r>
              <w:t>DTaP</w:t>
            </w:r>
          </w:p>
        </w:tc>
        <w:tc>
          <w:tcPr>
            <w:tcW w:w="1258" w:type="dxa"/>
            <w:shd w:val="clear" w:color="auto" w:fill="DEEAF6" w:themeFill="accent1" w:themeFillTint="33"/>
          </w:tcPr>
          <w:p w:rsidR="004A50B7" w:rsidRDefault="004A50B7" w:rsidP="003D57E8">
            <w:r>
              <w:t>Polio</w:t>
            </w:r>
          </w:p>
        </w:tc>
        <w:tc>
          <w:tcPr>
            <w:tcW w:w="1199" w:type="dxa"/>
            <w:shd w:val="clear" w:color="auto" w:fill="DEEAF6" w:themeFill="accent1" w:themeFillTint="33"/>
          </w:tcPr>
          <w:p w:rsidR="004A50B7" w:rsidRDefault="004A50B7" w:rsidP="003D57E8">
            <w:r>
              <w:t>Prevnar</w:t>
            </w:r>
          </w:p>
        </w:tc>
        <w:tc>
          <w:tcPr>
            <w:tcW w:w="1091" w:type="dxa"/>
            <w:shd w:val="clear" w:color="auto" w:fill="DEEAF6" w:themeFill="accent1" w:themeFillTint="33"/>
          </w:tcPr>
          <w:p w:rsidR="004A50B7" w:rsidRDefault="004A50B7" w:rsidP="003D57E8">
            <w:r>
              <w:t>HIB</w:t>
            </w:r>
          </w:p>
        </w:tc>
        <w:tc>
          <w:tcPr>
            <w:tcW w:w="1091" w:type="dxa"/>
            <w:vMerge w:val="restart"/>
            <w:shd w:val="clear" w:color="auto" w:fill="DEEAF6" w:themeFill="accent1" w:themeFillTint="33"/>
          </w:tcPr>
          <w:p w:rsidR="004A50B7" w:rsidRPr="008C2C06" w:rsidRDefault="004A50B7" w:rsidP="008C2C06">
            <w:pPr>
              <w:rPr>
                <w:sz w:val="20"/>
                <w:szCs w:val="20"/>
              </w:rPr>
            </w:pPr>
            <w:r w:rsidRPr="008C2C06">
              <w:rPr>
                <w:sz w:val="20"/>
                <w:szCs w:val="20"/>
              </w:rPr>
              <w:t xml:space="preserve">=&gt;6mo Flu </w:t>
            </w:r>
            <w:r>
              <w:rPr>
                <w:sz w:val="20"/>
                <w:szCs w:val="20"/>
              </w:rPr>
              <w:t>&amp; Covid</w:t>
            </w:r>
          </w:p>
        </w:tc>
      </w:tr>
      <w:tr w:rsidR="004A50B7" w:rsidTr="003D57E8">
        <w:tc>
          <w:tcPr>
            <w:tcW w:w="2259" w:type="dxa"/>
            <w:shd w:val="clear" w:color="auto" w:fill="BDD6EE" w:themeFill="accent1" w:themeFillTint="66"/>
          </w:tcPr>
          <w:p w:rsidR="004A50B7" w:rsidRDefault="004A50B7" w:rsidP="008C2C06">
            <w:pPr>
              <w:rPr>
                <w:rStyle w:val="A10"/>
              </w:rPr>
            </w:pPr>
            <w:r>
              <w:rPr>
                <w:rStyle w:val="A10"/>
              </w:rPr>
              <w:t>9 month</w:t>
            </w:r>
          </w:p>
        </w:tc>
        <w:tc>
          <w:tcPr>
            <w:tcW w:w="1265" w:type="dxa"/>
            <w:shd w:val="clear" w:color="auto" w:fill="DEEAF6" w:themeFill="accent1" w:themeFillTint="33"/>
          </w:tcPr>
          <w:p w:rsidR="004A50B7" w:rsidRDefault="004A50B7" w:rsidP="008C2C06">
            <w:r>
              <w:t>Catch-up</w:t>
            </w:r>
          </w:p>
        </w:tc>
        <w:tc>
          <w:tcPr>
            <w:tcW w:w="1187" w:type="dxa"/>
            <w:shd w:val="clear" w:color="auto" w:fill="DEEAF6" w:themeFill="accent1" w:themeFillTint="33"/>
          </w:tcPr>
          <w:p w:rsidR="004A50B7" w:rsidRDefault="004A50B7" w:rsidP="008C2C06"/>
        </w:tc>
        <w:tc>
          <w:tcPr>
            <w:tcW w:w="1258" w:type="dxa"/>
            <w:shd w:val="clear" w:color="auto" w:fill="DEEAF6" w:themeFill="accent1" w:themeFillTint="33"/>
          </w:tcPr>
          <w:p w:rsidR="004A50B7" w:rsidRDefault="004A50B7" w:rsidP="008C2C06"/>
        </w:tc>
        <w:tc>
          <w:tcPr>
            <w:tcW w:w="1199" w:type="dxa"/>
            <w:shd w:val="clear" w:color="auto" w:fill="DEEAF6" w:themeFill="accent1" w:themeFillTint="33"/>
          </w:tcPr>
          <w:p w:rsidR="004A50B7" w:rsidRDefault="004A50B7" w:rsidP="008C2C06"/>
        </w:tc>
        <w:tc>
          <w:tcPr>
            <w:tcW w:w="1091" w:type="dxa"/>
            <w:shd w:val="clear" w:color="auto" w:fill="DEEAF6" w:themeFill="accent1" w:themeFillTint="33"/>
          </w:tcPr>
          <w:p w:rsidR="004A50B7" w:rsidRDefault="004A50B7" w:rsidP="008C2C06"/>
        </w:tc>
        <w:tc>
          <w:tcPr>
            <w:tcW w:w="1091" w:type="dxa"/>
            <w:vMerge/>
            <w:shd w:val="clear" w:color="auto" w:fill="DEEAF6" w:themeFill="accent1" w:themeFillTint="33"/>
          </w:tcPr>
          <w:p w:rsidR="004A50B7" w:rsidRDefault="004A50B7" w:rsidP="008C2C06"/>
        </w:tc>
      </w:tr>
      <w:tr w:rsidR="008C2C06" w:rsidTr="003D57E8">
        <w:tc>
          <w:tcPr>
            <w:tcW w:w="2259" w:type="dxa"/>
            <w:shd w:val="clear" w:color="auto" w:fill="BDD6EE" w:themeFill="accent1" w:themeFillTint="66"/>
          </w:tcPr>
          <w:p w:rsidR="008C2C06" w:rsidRDefault="008C2C06" w:rsidP="008C2C06">
            <w:pPr>
              <w:rPr>
                <w:rStyle w:val="A10"/>
              </w:rPr>
            </w:pPr>
            <w:r>
              <w:rPr>
                <w:rStyle w:val="A10"/>
              </w:rPr>
              <w:t>12 month</w:t>
            </w:r>
          </w:p>
        </w:tc>
        <w:tc>
          <w:tcPr>
            <w:tcW w:w="1265" w:type="dxa"/>
            <w:shd w:val="clear" w:color="auto" w:fill="DEEAF6" w:themeFill="accent1" w:themeFillTint="33"/>
          </w:tcPr>
          <w:p w:rsidR="008C2C06" w:rsidRDefault="008C2C06" w:rsidP="008C2C06">
            <w:r>
              <w:t>Hepatitis A</w:t>
            </w:r>
          </w:p>
        </w:tc>
        <w:tc>
          <w:tcPr>
            <w:tcW w:w="1187" w:type="dxa"/>
            <w:shd w:val="clear" w:color="auto" w:fill="DEEAF6" w:themeFill="accent1" w:themeFillTint="33"/>
          </w:tcPr>
          <w:p w:rsidR="008C2C06" w:rsidRDefault="008C2C06" w:rsidP="008C2C06">
            <w:r>
              <w:t>Prevnar</w:t>
            </w:r>
          </w:p>
        </w:tc>
        <w:tc>
          <w:tcPr>
            <w:tcW w:w="1258" w:type="dxa"/>
            <w:shd w:val="clear" w:color="auto" w:fill="DEEAF6" w:themeFill="accent1" w:themeFillTint="33"/>
          </w:tcPr>
          <w:p w:rsidR="008C2C06" w:rsidRDefault="008C2C06" w:rsidP="008C2C06">
            <w:r>
              <w:t>Varicella</w:t>
            </w:r>
          </w:p>
        </w:tc>
        <w:tc>
          <w:tcPr>
            <w:tcW w:w="1199" w:type="dxa"/>
            <w:shd w:val="clear" w:color="auto" w:fill="DEEAF6" w:themeFill="accent1" w:themeFillTint="33"/>
          </w:tcPr>
          <w:p w:rsidR="008C2C06" w:rsidRDefault="008C2C06" w:rsidP="008C2C06">
            <w:r>
              <w:t>MMR</w:t>
            </w:r>
          </w:p>
        </w:tc>
        <w:tc>
          <w:tcPr>
            <w:tcW w:w="1091"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r>
              <w:t xml:space="preserve"> </w:t>
            </w:r>
          </w:p>
        </w:tc>
      </w:tr>
      <w:tr w:rsidR="008C2C06" w:rsidTr="003D57E8">
        <w:tc>
          <w:tcPr>
            <w:tcW w:w="2259" w:type="dxa"/>
            <w:shd w:val="clear" w:color="auto" w:fill="BDD6EE" w:themeFill="accent1" w:themeFillTint="66"/>
          </w:tcPr>
          <w:p w:rsidR="008C2C06" w:rsidRDefault="008C2C06" w:rsidP="008C2C06">
            <w:pPr>
              <w:rPr>
                <w:rStyle w:val="A10"/>
              </w:rPr>
            </w:pPr>
            <w:r>
              <w:rPr>
                <w:rStyle w:val="A10"/>
              </w:rPr>
              <w:t>15 month</w:t>
            </w:r>
          </w:p>
        </w:tc>
        <w:tc>
          <w:tcPr>
            <w:tcW w:w="1265" w:type="dxa"/>
            <w:shd w:val="clear" w:color="auto" w:fill="DEEAF6" w:themeFill="accent1" w:themeFillTint="33"/>
          </w:tcPr>
          <w:p w:rsidR="008C2C06" w:rsidRDefault="008C2C06" w:rsidP="008C2C06">
            <w:r>
              <w:t>DTaP</w:t>
            </w:r>
          </w:p>
        </w:tc>
        <w:tc>
          <w:tcPr>
            <w:tcW w:w="1187" w:type="dxa"/>
            <w:shd w:val="clear" w:color="auto" w:fill="DEEAF6" w:themeFill="accent1" w:themeFillTint="33"/>
          </w:tcPr>
          <w:p w:rsidR="008C2C06" w:rsidRDefault="008C2C06" w:rsidP="008C2C06">
            <w:r>
              <w:t>HIB</w:t>
            </w:r>
          </w:p>
        </w:tc>
        <w:tc>
          <w:tcPr>
            <w:tcW w:w="1258" w:type="dxa"/>
            <w:shd w:val="clear" w:color="auto" w:fill="DEEAF6" w:themeFill="accent1" w:themeFillTint="33"/>
          </w:tcPr>
          <w:p w:rsidR="008C2C06" w:rsidRDefault="008C2C06" w:rsidP="008C2C06"/>
        </w:tc>
        <w:tc>
          <w:tcPr>
            <w:tcW w:w="1199"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r>
              <w:t xml:space="preserve"> </w:t>
            </w:r>
          </w:p>
        </w:tc>
      </w:tr>
      <w:tr w:rsidR="008C2C06" w:rsidTr="003D57E8">
        <w:tc>
          <w:tcPr>
            <w:tcW w:w="2259" w:type="dxa"/>
            <w:shd w:val="clear" w:color="auto" w:fill="BDD6EE" w:themeFill="accent1" w:themeFillTint="66"/>
          </w:tcPr>
          <w:p w:rsidR="008C2C06" w:rsidRDefault="008C2C06" w:rsidP="008C2C06">
            <w:pPr>
              <w:rPr>
                <w:rStyle w:val="A10"/>
              </w:rPr>
            </w:pPr>
            <w:r>
              <w:rPr>
                <w:rStyle w:val="A10"/>
              </w:rPr>
              <w:t>18 month</w:t>
            </w:r>
          </w:p>
        </w:tc>
        <w:tc>
          <w:tcPr>
            <w:tcW w:w="1265" w:type="dxa"/>
            <w:shd w:val="clear" w:color="auto" w:fill="DEEAF6" w:themeFill="accent1" w:themeFillTint="33"/>
          </w:tcPr>
          <w:p w:rsidR="008C2C06" w:rsidRDefault="008C2C06" w:rsidP="008C2C06">
            <w:r>
              <w:t>Hepatitis A</w:t>
            </w:r>
          </w:p>
        </w:tc>
        <w:tc>
          <w:tcPr>
            <w:tcW w:w="1187" w:type="dxa"/>
            <w:shd w:val="clear" w:color="auto" w:fill="DEEAF6" w:themeFill="accent1" w:themeFillTint="33"/>
          </w:tcPr>
          <w:p w:rsidR="008C2C06" w:rsidRDefault="008C2C06" w:rsidP="008C2C06"/>
        </w:tc>
        <w:tc>
          <w:tcPr>
            <w:tcW w:w="1258" w:type="dxa"/>
            <w:shd w:val="clear" w:color="auto" w:fill="DEEAF6" w:themeFill="accent1" w:themeFillTint="33"/>
          </w:tcPr>
          <w:p w:rsidR="008C2C06" w:rsidRDefault="008C2C06" w:rsidP="008C2C06"/>
        </w:tc>
        <w:tc>
          <w:tcPr>
            <w:tcW w:w="1199"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r>
              <w:t xml:space="preserve"> </w:t>
            </w:r>
          </w:p>
        </w:tc>
      </w:tr>
      <w:tr w:rsidR="008C2C06" w:rsidTr="003D57E8">
        <w:tc>
          <w:tcPr>
            <w:tcW w:w="2259" w:type="dxa"/>
            <w:shd w:val="clear" w:color="auto" w:fill="BDD6EE" w:themeFill="accent1" w:themeFillTint="66"/>
          </w:tcPr>
          <w:p w:rsidR="008C2C06" w:rsidRDefault="008C2C06" w:rsidP="008C2C06">
            <w:pPr>
              <w:rPr>
                <w:rStyle w:val="A10"/>
              </w:rPr>
            </w:pPr>
            <w:r>
              <w:rPr>
                <w:rStyle w:val="A10"/>
              </w:rPr>
              <w:t>2 year</w:t>
            </w:r>
          </w:p>
        </w:tc>
        <w:tc>
          <w:tcPr>
            <w:tcW w:w="1265" w:type="dxa"/>
            <w:shd w:val="clear" w:color="auto" w:fill="DEEAF6" w:themeFill="accent1" w:themeFillTint="33"/>
          </w:tcPr>
          <w:p w:rsidR="008C2C06" w:rsidRDefault="008C2C06" w:rsidP="008C2C06">
            <w:r>
              <w:t>Catch-up</w:t>
            </w:r>
          </w:p>
        </w:tc>
        <w:tc>
          <w:tcPr>
            <w:tcW w:w="1187" w:type="dxa"/>
            <w:shd w:val="clear" w:color="auto" w:fill="DEEAF6" w:themeFill="accent1" w:themeFillTint="33"/>
          </w:tcPr>
          <w:p w:rsidR="008C2C06" w:rsidRDefault="008C2C06" w:rsidP="008C2C06"/>
        </w:tc>
        <w:tc>
          <w:tcPr>
            <w:tcW w:w="1258" w:type="dxa"/>
            <w:shd w:val="clear" w:color="auto" w:fill="DEEAF6" w:themeFill="accent1" w:themeFillTint="33"/>
          </w:tcPr>
          <w:p w:rsidR="008C2C06" w:rsidRDefault="008C2C06" w:rsidP="008C2C06"/>
        </w:tc>
        <w:tc>
          <w:tcPr>
            <w:tcW w:w="1199"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r>
              <w:t xml:space="preserve"> </w:t>
            </w:r>
          </w:p>
        </w:tc>
      </w:tr>
      <w:tr w:rsidR="008C2C06" w:rsidTr="003D57E8">
        <w:tc>
          <w:tcPr>
            <w:tcW w:w="2259" w:type="dxa"/>
            <w:shd w:val="clear" w:color="auto" w:fill="BDD6EE" w:themeFill="accent1" w:themeFillTint="66"/>
          </w:tcPr>
          <w:p w:rsidR="008C2C06" w:rsidRDefault="008C2C06" w:rsidP="008C2C06">
            <w:pPr>
              <w:rPr>
                <w:rStyle w:val="A10"/>
              </w:rPr>
            </w:pPr>
            <w:r>
              <w:rPr>
                <w:rStyle w:val="A10"/>
              </w:rPr>
              <w:t>4-5 year</w:t>
            </w:r>
          </w:p>
        </w:tc>
        <w:tc>
          <w:tcPr>
            <w:tcW w:w="1265" w:type="dxa"/>
            <w:shd w:val="clear" w:color="auto" w:fill="DEEAF6" w:themeFill="accent1" w:themeFillTint="33"/>
          </w:tcPr>
          <w:p w:rsidR="008C2C06" w:rsidRDefault="008C2C06" w:rsidP="008C2C06">
            <w:r>
              <w:t>DTaP</w:t>
            </w:r>
          </w:p>
        </w:tc>
        <w:tc>
          <w:tcPr>
            <w:tcW w:w="1187" w:type="dxa"/>
            <w:shd w:val="clear" w:color="auto" w:fill="DEEAF6" w:themeFill="accent1" w:themeFillTint="33"/>
          </w:tcPr>
          <w:p w:rsidR="008C2C06" w:rsidRDefault="008C2C06" w:rsidP="008C2C06">
            <w:r>
              <w:t>Polio</w:t>
            </w:r>
          </w:p>
        </w:tc>
        <w:tc>
          <w:tcPr>
            <w:tcW w:w="1258" w:type="dxa"/>
            <w:shd w:val="clear" w:color="auto" w:fill="DEEAF6" w:themeFill="accent1" w:themeFillTint="33"/>
          </w:tcPr>
          <w:p w:rsidR="008C2C06" w:rsidRDefault="008C2C06" w:rsidP="008C2C06">
            <w:r>
              <w:t>Varicella</w:t>
            </w:r>
          </w:p>
        </w:tc>
        <w:tc>
          <w:tcPr>
            <w:tcW w:w="1199" w:type="dxa"/>
            <w:shd w:val="clear" w:color="auto" w:fill="DEEAF6" w:themeFill="accent1" w:themeFillTint="33"/>
          </w:tcPr>
          <w:p w:rsidR="008C2C06" w:rsidRDefault="008C2C06" w:rsidP="008C2C06">
            <w:r>
              <w:t>MMR</w:t>
            </w:r>
          </w:p>
        </w:tc>
        <w:tc>
          <w:tcPr>
            <w:tcW w:w="1091" w:type="dxa"/>
            <w:shd w:val="clear" w:color="auto" w:fill="DEEAF6" w:themeFill="accent1" w:themeFillTint="33"/>
          </w:tcPr>
          <w:p w:rsidR="008C2C06" w:rsidRPr="008C2C06" w:rsidRDefault="008C2C06" w:rsidP="008C2C06">
            <w:pPr>
              <w:rPr>
                <w:sz w:val="18"/>
                <w:szCs w:val="18"/>
              </w:rPr>
            </w:pPr>
          </w:p>
        </w:tc>
        <w:tc>
          <w:tcPr>
            <w:tcW w:w="1091" w:type="dxa"/>
            <w:shd w:val="clear" w:color="auto" w:fill="DEEAF6" w:themeFill="accent1" w:themeFillTint="33"/>
          </w:tcPr>
          <w:p w:rsidR="008C2C06" w:rsidRDefault="008C2C06" w:rsidP="008C2C06">
            <w:r>
              <w:t xml:space="preserve"> </w:t>
            </w:r>
          </w:p>
        </w:tc>
      </w:tr>
      <w:tr w:rsidR="008C2C06" w:rsidTr="003D57E8">
        <w:tc>
          <w:tcPr>
            <w:tcW w:w="2259" w:type="dxa"/>
            <w:shd w:val="clear" w:color="auto" w:fill="BDD6EE" w:themeFill="accent1" w:themeFillTint="66"/>
          </w:tcPr>
          <w:p w:rsidR="008C2C06" w:rsidRDefault="008C2C06" w:rsidP="008C2C06">
            <w:pPr>
              <w:rPr>
                <w:rStyle w:val="A10"/>
              </w:rPr>
            </w:pPr>
            <w:r>
              <w:rPr>
                <w:rStyle w:val="A10"/>
              </w:rPr>
              <w:t>11-12 year</w:t>
            </w:r>
          </w:p>
        </w:tc>
        <w:tc>
          <w:tcPr>
            <w:tcW w:w="1265" w:type="dxa"/>
            <w:shd w:val="clear" w:color="auto" w:fill="DEEAF6" w:themeFill="accent1" w:themeFillTint="33"/>
          </w:tcPr>
          <w:p w:rsidR="008C2C06" w:rsidRDefault="008C2C06" w:rsidP="008C2C06">
            <w:r>
              <w:t>Tdap</w:t>
            </w:r>
          </w:p>
        </w:tc>
        <w:tc>
          <w:tcPr>
            <w:tcW w:w="1187" w:type="dxa"/>
            <w:shd w:val="clear" w:color="auto" w:fill="DEEAF6" w:themeFill="accent1" w:themeFillTint="33"/>
          </w:tcPr>
          <w:p w:rsidR="008C2C06" w:rsidRDefault="008C2C06" w:rsidP="008C2C06">
            <w:r>
              <w:t>HPV</w:t>
            </w:r>
          </w:p>
        </w:tc>
        <w:tc>
          <w:tcPr>
            <w:tcW w:w="1258" w:type="dxa"/>
            <w:shd w:val="clear" w:color="auto" w:fill="DEEAF6" w:themeFill="accent1" w:themeFillTint="33"/>
          </w:tcPr>
          <w:p w:rsidR="008C2C06" w:rsidRDefault="008C2C06" w:rsidP="008C2C06">
            <w:r>
              <w:t>Menactra*</w:t>
            </w:r>
          </w:p>
        </w:tc>
        <w:tc>
          <w:tcPr>
            <w:tcW w:w="1199"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r>
              <w:t xml:space="preserve"> </w:t>
            </w:r>
          </w:p>
        </w:tc>
      </w:tr>
      <w:tr w:rsidR="008C2C06" w:rsidTr="003D57E8">
        <w:tc>
          <w:tcPr>
            <w:tcW w:w="2259" w:type="dxa"/>
            <w:shd w:val="clear" w:color="auto" w:fill="BDD6EE" w:themeFill="accent1" w:themeFillTint="66"/>
          </w:tcPr>
          <w:p w:rsidR="008C2C06" w:rsidRDefault="008C2C06" w:rsidP="008C2C06">
            <w:pPr>
              <w:rPr>
                <w:rStyle w:val="A10"/>
              </w:rPr>
            </w:pPr>
            <w:r>
              <w:rPr>
                <w:rStyle w:val="A10"/>
              </w:rPr>
              <w:t>16-18 year</w:t>
            </w:r>
          </w:p>
        </w:tc>
        <w:tc>
          <w:tcPr>
            <w:tcW w:w="1265" w:type="dxa"/>
            <w:shd w:val="clear" w:color="auto" w:fill="DEEAF6" w:themeFill="accent1" w:themeFillTint="33"/>
          </w:tcPr>
          <w:p w:rsidR="008C2C06" w:rsidRDefault="008C2C06" w:rsidP="008C2C06">
            <w:r>
              <w:t>Menactra*</w:t>
            </w:r>
          </w:p>
        </w:tc>
        <w:tc>
          <w:tcPr>
            <w:tcW w:w="1187" w:type="dxa"/>
            <w:shd w:val="clear" w:color="auto" w:fill="DEEAF6" w:themeFill="accent1" w:themeFillTint="33"/>
          </w:tcPr>
          <w:p w:rsidR="008C2C06" w:rsidRDefault="008C2C06" w:rsidP="008C2C06">
            <w:r>
              <w:t>Men B*</w:t>
            </w:r>
          </w:p>
        </w:tc>
        <w:tc>
          <w:tcPr>
            <w:tcW w:w="1258" w:type="dxa"/>
            <w:shd w:val="clear" w:color="auto" w:fill="DEEAF6" w:themeFill="accent1" w:themeFillTint="33"/>
          </w:tcPr>
          <w:p w:rsidR="008C2C06" w:rsidRDefault="008C2C06" w:rsidP="008C2C06"/>
        </w:tc>
        <w:tc>
          <w:tcPr>
            <w:tcW w:w="1199"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tc>
        <w:tc>
          <w:tcPr>
            <w:tcW w:w="1091" w:type="dxa"/>
            <w:shd w:val="clear" w:color="auto" w:fill="DEEAF6" w:themeFill="accent1" w:themeFillTint="33"/>
          </w:tcPr>
          <w:p w:rsidR="008C2C06" w:rsidRDefault="008C2C06" w:rsidP="008C2C06">
            <w:r>
              <w:t xml:space="preserve"> </w:t>
            </w:r>
          </w:p>
        </w:tc>
      </w:tr>
    </w:tbl>
    <w:p w:rsidR="003D57E8" w:rsidRDefault="00C5106A" w:rsidP="00C5106A">
      <w:pPr>
        <w:spacing w:after="0"/>
      </w:pPr>
      <w:r>
        <w:t>*Meningococcal</w:t>
      </w:r>
      <w:r w:rsidR="00BE49AF">
        <w:t xml:space="preserve"> ACYW</w:t>
      </w:r>
    </w:p>
    <w:p w:rsidR="00C5106A" w:rsidRDefault="00C5106A" w:rsidP="00C5106A">
      <w:pPr>
        <w:spacing w:after="0"/>
      </w:pPr>
      <w:r>
        <w:t>*Meningococcal B</w:t>
      </w:r>
    </w:p>
    <w:sectPr w:rsidR="00C5106A" w:rsidSect="00BE4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ala Sans Offc">
    <w:altName w:val="Scala Sans Off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A49B4"/>
    <w:multiLevelType w:val="hybridMultilevel"/>
    <w:tmpl w:val="4C0A8322"/>
    <w:lvl w:ilvl="0" w:tplc="E18444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53802"/>
    <w:multiLevelType w:val="hybridMultilevel"/>
    <w:tmpl w:val="E578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B6DBE"/>
    <w:multiLevelType w:val="hybridMultilevel"/>
    <w:tmpl w:val="C5D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ED"/>
    <w:rsid w:val="003D57E8"/>
    <w:rsid w:val="004A50B7"/>
    <w:rsid w:val="00557291"/>
    <w:rsid w:val="006C4896"/>
    <w:rsid w:val="00746C6A"/>
    <w:rsid w:val="008C2C06"/>
    <w:rsid w:val="008D594C"/>
    <w:rsid w:val="00956643"/>
    <w:rsid w:val="00B17D10"/>
    <w:rsid w:val="00B87002"/>
    <w:rsid w:val="00BE49AF"/>
    <w:rsid w:val="00C5106A"/>
    <w:rsid w:val="00ED0438"/>
    <w:rsid w:val="00F51DED"/>
    <w:rsid w:val="00FC7DE6"/>
    <w:rsid w:val="00FD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E979C-67BD-4C06-BBB2-2ED80C8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D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DED"/>
    <w:rPr>
      <w:b/>
      <w:bCs/>
    </w:rPr>
  </w:style>
  <w:style w:type="character" w:styleId="Emphasis">
    <w:name w:val="Emphasis"/>
    <w:basedOn w:val="DefaultParagraphFont"/>
    <w:uiPriority w:val="20"/>
    <w:qFormat/>
    <w:rsid w:val="00F51DED"/>
    <w:rPr>
      <w:i/>
      <w:iCs/>
    </w:rPr>
  </w:style>
  <w:style w:type="paragraph" w:customStyle="1" w:styleId="Default">
    <w:name w:val="Default"/>
    <w:rsid w:val="00FD1495"/>
    <w:pPr>
      <w:autoSpaceDE w:val="0"/>
      <w:autoSpaceDN w:val="0"/>
      <w:adjustRightInd w:val="0"/>
      <w:spacing w:after="0" w:line="240" w:lineRule="auto"/>
    </w:pPr>
    <w:rPr>
      <w:rFonts w:ascii="Scala Sans Offc" w:hAnsi="Scala Sans Offc" w:cs="Scala Sans Offc"/>
      <w:color w:val="000000"/>
      <w:sz w:val="24"/>
      <w:szCs w:val="24"/>
    </w:rPr>
  </w:style>
  <w:style w:type="character" w:customStyle="1" w:styleId="A10">
    <w:name w:val="A10"/>
    <w:uiPriority w:val="99"/>
    <w:rsid w:val="00FD1495"/>
    <w:rPr>
      <w:rFonts w:cs="Scala Sans Offc"/>
      <w:color w:val="000000"/>
      <w:sz w:val="21"/>
      <w:szCs w:val="21"/>
    </w:rPr>
  </w:style>
  <w:style w:type="paragraph" w:customStyle="1" w:styleId="Pa4">
    <w:name w:val="Pa4"/>
    <w:basedOn w:val="Default"/>
    <w:next w:val="Default"/>
    <w:uiPriority w:val="99"/>
    <w:rsid w:val="00FD1495"/>
    <w:pPr>
      <w:spacing w:line="241" w:lineRule="atLeast"/>
    </w:pPr>
    <w:rPr>
      <w:rFonts w:cstheme="minorBidi"/>
      <w:color w:val="auto"/>
    </w:rPr>
  </w:style>
  <w:style w:type="table" w:styleId="TableGrid">
    <w:name w:val="Table Grid"/>
    <w:basedOn w:val="TableNormal"/>
    <w:uiPriority w:val="39"/>
    <w:rsid w:val="005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Ricks</dc:creator>
  <cp:keywords/>
  <dc:description/>
  <cp:lastModifiedBy>Laurel Ricks</cp:lastModifiedBy>
  <cp:revision>10</cp:revision>
  <cp:lastPrinted>2021-11-12T00:00:00Z</cp:lastPrinted>
  <dcterms:created xsi:type="dcterms:W3CDTF">2021-11-11T19:52:00Z</dcterms:created>
  <dcterms:modified xsi:type="dcterms:W3CDTF">2023-05-25T19:48:00Z</dcterms:modified>
</cp:coreProperties>
</file>